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37BACC6C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1750C7"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>Tdoc R3-1</w:t>
      </w:r>
      <w:r w:rsidR="006071A3">
        <w:rPr>
          <w:b/>
          <w:noProof/>
          <w:sz w:val="24"/>
        </w:rPr>
        <w:t>9</w:t>
      </w:r>
      <w:r w:rsidR="00D44B29">
        <w:rPr>
          <w:b/>
          <w:noProof/>
          <w:sz w:val="24"/>
        </w:rPr>
        <w:t>4145</w:t>
      </w:r>
      <w:bookmarkStart w:id="0" w:name="_GoBack"/>
      <w:bookmarkEnd w:id="0"/>
    </w:p>
    <w:p w14:paraId="484087CF" w14:textId="0F585E56" w:rsidR="00890293" w:rsidRDefault="001750C7" w:rsidP="00E27F0B">
      <w:pPr>
        <w:pStyle w:val="3GPPHeader"/>
        <w:rPr>
          <w:noProof/>
        </w:rPr>
      </w:pPr>
      <w:r>
        <w:rPr>
          <w:noProof/>
        </w:rPr>
        <w:t>Ljubljana</w:t>
      </w:r>
      <w:r w:rsidR="00B00A15">
        <w:rPr>
          <w:noProof/>
        </w:rPr>
        <w:t xml:space="preserve">, </w:t>
      </w:r>
      <w:r>
        <w:rPr>
          <w:noProof/>
        </w:rPr>
        <w:t>Slovenia</w:t>
      </w:r>
      <w:r w:rsidR="00DC4651">
        <w:rPr>
          <w:noProof/>
        </w:rPr>
        <w:t>,</w:t>
      </w:r>
      <w:r w:rsidR="00B00A15">
        <w:rPr>
          <w:noProof/>
        </w:rPr>
        <w:t xml:space="preserve"> </w:t>
      </w:r>
      <w:r>
        <w:rPr>
          <w:noProof/>
        </w:rPr>
        <w:t>26</w:t>
      </w:r>
      <w:r w:rsidR="00E27F0B" w:rsidRPr="00B00A15">
        <w:rPr>
          <w:noProof/>
          <w:vertAlign w:val="superscript"/>
        </w:rPr>
        <w:t>th</w:t>
      </w:r>
      <w:r w:rsidR="00B00A15">
        <w:rPr>
          <w:noProof/>
        </w:rPr>
        <w:t xml:space="preserve"> – </w:t>
      </w:r>
      <w:r>
        <w:rPr>
          <w:noProof/>
        </w:rPr>
        <w:t>30</w:t>
      </w:r>
      <w:r w:rsidR="00B00A15" w:rsidRPr="00B00A15">
        <w:rPr>
          <w:noProof/>
          <w:vertAlign w:val="superscript"/>
        </w:rPr>
        <w:t>t</w:t>
      </w:r>
      <w:r w:rsidR="006071A3">
        <w:rPr>
          <w:noProof/>
          <w:vertAlign w:val="superscript"/>
        </w:rPr>
        <w:t>h</w:t>
      </w:r>
      <w:r w:rsidR="00B00A15">
        <w:rPr>
          <w:noProof/>
        </w:rPr>
        <w:t xml:space="preserve"> </w:t>
      </w:r>
      <w:r>
        <w:rPr>
          <w:noProof/>
        </w:rPr>
        <w:t>August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29497F1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424B72">
        <w:rPr>
          <w:sz w:val="22"/>
          <w:szCs w:val="22"/>
          <w:lang w:val="en-US"/>
        </w:rPr>
        <w:t>9.3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7DDE8DB1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05150">
        <w:rPr>
          <w:sz w:val="22"/>
          <w:szCs w:val="22"/>
        </w:rPr>
        <w:t>U</w:t>
      </w:r>
      <w:r w:rsidR="00E05150" w:rsidRPr="00E05150">
        <w:rPr>
          <w:sz w:val="22"/>
          <w:szCs w:val="22"/>
        </w:rPr>
        <w:t>se of SCTP ports for multiple TNLA</w:t>
      </w:r>
      <w:r w:rsidR="00754E5A">
        <w:rPr>
          <w:sz w:val="22"/>
          <w:szCs w:val="22"/>
        </w:rPr>
        <w:t>.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8151F63" w14:textId="2D629709" w:rsidR="000C4577" w:rsidRDefault="00184BD2" w:rsidP="00754E5A">
      <w:r>
        <w:t xml:space="preserve">In the previous meeting </w:t>
      </w:r>
      <w:r w:rsidR="00481325">
        <w:t xml:space="preserve">further developments regarding the multiple </w:t>
      </w:r>
      <w:r w:rsidR="00D37107">
        <w:t>TNLA</w:t>
      </w:r>
      <w:r w:rsidR="00481325">
        <w:t xml:space="preserve"> associations took place</w:t>
      </w:r>
      <w:r w:rsidR="00D37107">
        <w:t xml:space="preserve">, with agreements on addition and removal of multiple TNLAs. </w:t>
      </w:r>
      <w:r w:rsidR="000C4577">
        <w:t xml:space="preserve">In this contribution we will elaborate on </w:t>
      </w:r>
      <w:bookmarkStart w:id="1" w:name="_Hlk12035746"/>
      <w:r w:rsidR="00D37107">
        <w:t xml:space="preserve">the use of SCTP ports for multiple </w:t>
      </w:r>
      <w:bookmarkEnd w:id="1"/>
      <w:r w:rsidR="00D37107">
        <w:t>TNLAs</w:t>
      </w:r>
      <w:r w:rsidR="00367F9D">
        <w:t xml:space="preserve"> and provide our thoughts on the matter</w:t>
      </w:r>
      <w:r w:rsidR="000C4577">
        <w:t xml:space="preserve">. 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5B719537" w14:textId="0B754B1E" w:rsidR="005E7F31" w:rsidRDefault="007F0C76" w:rsidP="00681220">
      <w:bookmarkStart w:id="2" w:name="_Hlk509769073"/>
      <w:r>
        <w:t xml:space="preserve">To establish multiple TNLAs, we would of course need SCTP ports. In the following we will discuss which ports </w:t>
      </w:r>
      <w:r w:rsidR="00AC06DE">
        <w:t>can be used</w:t>
      </w:r>
      <w:r>
        <w:t>.</w:t>
      </w:r>
    </w:p>
    <w:p w14:paraId="3EE8FB11" w14:textId="09DB85F3" w:rsidR="003E0DE0" w:rsidRDefault="002C75CD" w:rsidP="00681220">
      <w:r>
        <w:t xml:space="preserve">The first SCTP association is autonomously triggered by the gNB-DU and for that it needs to be issued on a well-known port. Acknowledging this fact prompted the assignment of IANA ports to NG AP, </w:t>
      </w:r>
      <w:proofErr w:type="spellStart"/>
      <w:r>
        <w:t>XnAP</w:t>
      </w:r>
      <w:proofErr w:type="spellEnd"/>
      <w:r>
        <w:t xml:space="preserve">, F1 AP and E1 AP. </w:t>
      </w:r>
      <w:proofErr w:type="gramStart"/>
      <w:r>
        <w:t>So</w:t>
      </w:r>
      <w:proofErr w:type="gramEnd"/>
      <w:r>
        <w:t xml:space="preserve"> for the very first SCTP INIT initiated by a</w:t>
      </w:r>
      <w:r w:rsidR="003E0DE0">
        <w:t>n SCTP client to an SCTP server, e.g. in the CU-DU architecture case this is initiated by the</w:t>
      </w:r>
      <w:r>
        <w:t xml:space="preserve"> </w:t>
      </w:r>
      <w:proofErr w:type="spellStart"/>
      <w:r>
        <w:t>gNB</w:t>
      </w:r>
      <w:proofErr w:type="spellEnd"/>
      <w:r>
        <w:t>-DU</w:t>
      </w:r>
      <w:r w:rsidR="00692BFF">
        <w:t xml:space="preserve"> towards an </w:t>
      </w:r>
      <w:proofErr w:type="spellStart"/>
      <w:r w:rsidR="00692BFF">
        <w:t>gNB</w:t>
      </w:r>
      <w:proofErr w:type="spellEnd"/>
      <w:r w:rsidR="00692BFF">
        <w:t>-CU-CP</w:t>
      </w:r>
      <w:r w:rsidR="003E0DE0">
        <w:t>,</w:t>
      </w:r>
      <w:r>
        <w:t xml:space="preserve"> the IANA port needs to be used. For further TNLA establishments, the server port </w:t>
      </w:r>
      <w:r w:rsidR="00B21CF7">
        <w:t xml:space="preserve">is </w:t>
      </w:r>
      <w:r w:rsidR="00FE7BCA">
        <w:t>selected</w:t>
      </w:r>
      <w:r w:rsidR="00B21CF7">
        <w:t xml:space="preserve"> and </w:t>
      </w:r>
      <w:r>
        <w:t>signalled by the server</w:t>
      </w:r>
      <w:r w:rsidR="003E0DE0">
        <w:t xml:space="preserve"> via dedicated signalled and for that it</w:t>
      </w:r>
      <w:r>
        <w:t xml:space="preserve"> can be any port. </w:t>
      </w:r>
      <w:proofErr w:type="gramStart"/>
      <w:r>
        <w:t>So</w:t>
      </w:r>
      <w:proofErr w:type="gramEnd"/>
      <w:r>
        <w:t xml:space="preserve"> for any additional SCTP association there is no need to be restricted to the IANA ports.</w:t>
      </w:r>
    </w:p>
    <w:p w14:paraId="4802425B" w14:textId="0E8E69E3" w:rsidR="00AC06DE" w:rsidRDefault="003E0DE0" w:rsidP="00681220">
      <w:proofErr w:type="gramStart"/>
      <w:r>
        <w:t>Indeed</w:t>
      </w:r>
      <w:proofErr w:type="gramEnd"/>
      <w:r>
        <w:t xml:space="preserve"> the F1AP allows the </w:t>
      </w:r>
      <w:proofErr w:type="spellStart"/>
      <w:r>
        <w:t>gNB</w:t>
      </w:r>
      <w:proofErr w:type="spellEnd"/>
      <w:r>
        <w:t xml:space="preserve">-CU-CP to signal a GNB-CU CONFIGURATION UPDATE message containing a </w:t>
      </w:r>
      <w:proofErr w:type="spellStart"/>
      <w:r w:rsidRPr="00F7002F">
        <w:rPr>
          <w:rFonts w:cs="Arial"/>
          <w:i/>
          <w:szCs w:val="18"/>
          <w:lang w:eastAsia="ja-JP"/>
        </w:rPr>
        <w:t>gNB</w:t>
      </w:r>
      <w:proofErr w:type="spellEnd"/>
      <w:r w:rsidRPr="00F7002F">
        <w:rPr>
          <w:rFonts w:cs="Arial"/>
          <w:i/>
          <w:szCs w:val="18"/>
          <w:lang w:eastAsia="ja-JP"/>
        </w:rPr>
        <w:t>-CU TNL Association To Add List</w:t>
      </w:r>
      <w:r w:rsidRPr="00F7002F">
        <w:rPr>
          <w:rFonts w:cs="Arial"/>
          <w:szCs w:val="18"/>
          <w:lang w:eastAsia="ja-JP"/>
        </w:rPr>
        <w:t xml:space="preserve"> IE</w:t>
      </w:r>
      <w:r w:rsidRPr="00F7002F">
        <w:rPr>
          <w:rFonts w:cs="Arial"/>
          <w:b/>
          <w:szCs w:val="18"/>
          <w:lang w:eastAsia="ja-JP"/>
        </w:rPr>
        <w:t xml:space="preserve">. </w:t>
      </w:r>
      <w:r w:rsidRPr="00F7002F">
        <w:rPr>
          <w:rFonts w:cs="Arial"/>
          <w:szCs w:val="18"/>
          <w:lang w:eastAsia="ja-JP"/>
        </w:rPr>
        <w:t>For each TNLA to be added an SCTP port to be used is specified</w:t>
      </w:r>
      <w:r w:rsidR="00C960E8" w:rsidRPr="00F7002F">
        <w:rPr>
          <w:rFonts w:cs="Arial"/>
          <w:szCs w:val="18"/>
          <w:lang w:eastAsia="ja-JP"/>
        </w:rPr>
        <w:t xml:space="preserve"> by the </w:t>
      </w:r>
      <w:r w:rsidR="00C960E8" w:rsidRPr="00F7002F">
        <w:rPr>
          <w:rFonts w:cs="Arial"/>
          <w:i/>
          <w:szCs w:val="18"/>
          <w:lang w:eastAsia="ja-JP"/>
        </w:rPr>
        <w:t>CP Transport Layer Information</w:t>
      </w:r>
      <w:r w:rsidR="00C960E8" w:rsidRPr="00F7002F">
        <w:rPr>
          <w:rFonts w:cs="Arial"/>
          <w:szCs w:val="18"/>
          <w:lang w:eastAsia="ja-JP"/>
        </w:rPr>
        <w:t xml:space="preserve"> IE</w:t>
      </w:r>
      <w:r w:rsidRPr="00F7002F">
        <w:rPr>
          <w:rFonts w:cs="Arial"/>
          <w:szCs w:val="18"/>
          <w:lang w:eastAsia="ja-JP"/>
        </w:rPr>
        <w:t>.</w:t>
      </w:r>
      <w:r w:rsidR="00C960E8" w:rsidRPr="00F7002F">
        <w:rPr>
          <w:rFonts w:cs="Arial"/>
          <w:szCs w:val="18"/>
          <w:lang w:eastAsia="ja-JP"/>
        </w:rPr>
        <w:t xml:space="preserve"> Hence, for the very first SCTP association established between a </w:t>
      </w:r>
      <w:proofErr w:type="spellStart"/>
      <w:r w:rsidR="00C960E8" w:rsidRPr="00F7002F">
        <w:rPr>
          <w:rFonts w:cs="Arial"/>
          <w:szCs w:val="18"/>
          <w:lang w:eastAsia="ja-JP"/>
        </w:rPr>
        <w:t>gNB</w:t>
      </w:r>
      <w:proofErr w:type="spellEnd"/>
      <w:r w:rsidR="00C960E8" w:rsidRPr="00F7002F">
        <w:rPr>
          <w:rFonts w:cs="Arial"/>
          <w:szCs w:val="18"/>
          <w:lang w:eastAsia="ja-JP"/>
        </w:rPr>
        <w:t xml:space="preserve">-DU and a </w:t>
      </w:r>
      <w:proofErr w:type="spellStart"/>
      <w:r w:rsidR="00C960E8" w:rsidRPr="00F7002F">
        <w:rPr>
          <w:rFonts w:cs="Arial"/>
          <w:szCs w:val="18"/>
          <w:lang w:eastAsia="ja-JP"/>
        </w:rPr>
        <w:t>gNB</w:t>
      </w:r>
      <w:proofErr w:type="spellEnd"/>
      <w:r w:rsidR="00C960E8" w:rsidRPr="00F7002F">
        <w:rPr>
          <w:rFonts w:cs="Arial"/>
          <w:szCs w:val="18"/>
          <w:lang w:eastAsia="ja-JP"/>
        </w:rPr>
        <w:t xml:space="preserve">-CU, the IANA port </w:t>
      </w:r>
      <w:r w:rsidR="00C960E8">
        <w:rPr>
          <w:rFonts w:eastAsia="MS Mincho"/>
        </w:rPr>
        <w:t>38472 specified in TS</w:t>
      </w:r>
      <w:r w:rsidR="00F7002F">
        <w:rPr>
          <w:rFonts w:eastAsia="MS Mincho"/>
        </w:rPr>
        <w:t xml:space="preserve"> </w:t>
      </w:r>
      <w:r w:rsidR="00C960E8">
        <w:rPr>
          <w:rFonts w:eastAsia="MS Mincho"/>
        </w:rPr>
        <w:t>38.472 shall be used.</w:t>
      </w:r>
      <w:r>
        <w:t xml:space="preserve"> </w:t>
      </w:r>
      <w:r w:rsidR="00C960E8">
        <w:t>For addition of TNLA over F1, i</w:t>
      </w:r>
      <w:r w:rsidR="00B21CF7">
        <w:t>t is recommended to use SCTP ports from the IANA allocated range</w:t>
      </w:r>
      <w:r w:rsidR="00E12F81">
        <w:t xml:space="preserve"> for dynamic SCTP ports</w:t>
      </w:r>
      <w:r w:rsidR="003C387C">
        <w:t>, that is port numbers 49152</w:t>
      </w:r>
      <w:r w:rsidR="002868F2">
        <w:t>-65535, following IETF RFC633</w:t>
      </w:r>
      <w:r w:rsidR="00B51EC5">
        <w:t>5</w:t>
      </w:r>
      <w:r w:rsidR="002868F2">
        <w:t>.</w:t>
      </w:r>
    </w:p>
    <w:p w14:paraId="2F1D3657" w14:textId="4FC02C09" w:rsidR="000535C7" w:rsidRDefault="000535C7" w:rsidP="000535C7">
      <w:pPr>
        <w:rPr>
          <w:b/>
        </w:rPr>
      </w:pPr>
      <w:r>
        <w:rPr>
          <w:b/>
        </w:rPr>
        <w:t>Observation</w:t>
      </w:r>
      <w:r w:rsidRPr="006C5107">
        <w:rPr>
          <w:b/>
        </w:rPr>
        <w:t xml:space="preserve"> 1: </w:t>
      </w:r>
      <w:r w:rsidRPr="000535C7">
        <w:rPr>
          <w:b/>
        </w:rPr>
        <w:t xml:space="preserve">for the very first SCTP INIT initiated by a </w:t>
      </w:r>
      <w:proofErr w:type="spellStart"/>
      <w:r w:rsidRPr="000535C7">
        <w:rPr>
          <w:b/>
        </w:rPr>
        <w:t>gNB</w:t>
      </w:r>
      <w:proofErr w:type="spellEnd"/>
      <w:r w:rsidRPr="000535C7">
        <w:rPr>
          <w:b/>
        </w:rPr>
        <w:t xml:space="preserve">-DU the IANA port </w:t>
      </w:r>
      <w:r w:rsidR="00C960E8" w:rsidRPr="00EF6F54">
        <w:rPr>
          <w:rFonts w:eastAsia="MS Mincho"/>
          <w:b/>
        </w:rPr>
        <w:t>38472</w:t>
      </w:r>
      <w:r w:rsidR="00C960E8" w:rsidRPr="000535C7">
        <w:rPr>
          <w:b/>
        </w:rPr>
        <w:t xml:space="preserve"> </w:t>
      </w:r>
      <w:r w:rsidRPr="000535C7">
        <w:rPr>
          <w:b/>
        </w:rPr>
        <w:t>needs to be used</w:t>
      </w:r>
    </w:p>
    <w:p w14:paraId="1A663568" w14:textId="4A4D5770" w:rsidR="00C960E8" w:rsidRDefault="00C960E8" w:rsidP="000535C7">
      <w:pPr>
        <w:rPr>
          <w:b/>
        </w:rPr>
      </w:pPr>
      <w:r>
        <w:rPr>
          <w:b/>
        </w:rPr>
        <w:t xml:space="preserve">Observation 2: for additional TNLAs between a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-DU and a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-CU the server port can be </w:t>
      </w:r>
      <w:r w:rsidR="003F6350">
        <w:rPr>
          <w:b/>
        </w:rPr>
        <w:t xml:space="preserve">freely </w:t>
      </w:r>
      <w:r>
        <w:rPr>
          <w:b/>
        </w:rPr>
        <w:t>chosen by the server</w:t>
      </w:r>
    </w:p>
    <w:p w14:paraId="31095ECC" w14:textId="1BAC91C8" w:rsidR="000535C7" w:rsidRDefault="000535C7" w:rsidP="00681220"/>
    <w:p w14:paraId="36EA72ED" w14:textId="7C5FBFF6" w:rsidR="003F6350" w:rsidRDefault="003F6350" w:rsidP="000535C7">
      <w:r>
        <w:t xml:space="preserve">Obviously, the same principle applies for other interfaces such as the NG, </w:t>
      </w:r>
      <w:proofErr w:type="spellStart"/>
      <w:r>
        <w:t>Xn</w:t>
      </w:r>
      <w:proofErr w:type="spellEnd"/>
      <w:r>
        <w:t xml:space="preserve"> and E1.</w:t>
      </w:r>
    </w:p>
    <w:p w14:paraId="286DA632" w14:textId="4DCACB95" w:rsidR="000535C7" w:rsidRDefault="000535C7" w:rsidP="000535C7">
      <w:r>
        <w:t xml:space="preserve">Based on the above, we propose to clarify in the NG, </w:t>
      </w:r>
      <w:proofErr w:type="spellStart"/>
      <w:r>
        <w:t>Xn</w:t>
      </w:r>
      <w:proofErr w:type="spellEnd"/>
      <w:r>
        <w:t xml:space="preserve">, F1 and E1 signalling transport specifications that for further TNLA establishments after the very first SCTP INIT, the server port is </w:t>
      </w:r>
      <w:r w:rsidR="00FE7BCA">
        <w:t xml:space="preserve">selected and </w:t>
      </w:r>
      <w:r>
        <w:t>signalled by the server and can be any port</w:t>
      </w:r>
      <w:r w:rsidR="00FE7BCA">
        <w:t>, but it is recommended to by an SCTP port number from the dynamic port range</w:t>
      </w:r>
      <w:r w:rsidR="001538D2">
        <w:t xml:space="preserve"> as defined by IETF RFC 6335</w:t>
      </w:r>
    </w:p>
    <w:p w14:paraId="118DA2DA" w14:textId="21564EBD" w:rsidR="000535C7" w:rsidRDefault="000535C7" w:rsidP="000535C7">
      <w:pPr>
        <w:rPr>
          <w:b/>
        </w:rPr>
      </w:pPr>
      <w:r>
        <w:rPr>
          <w:b/>
        </w:rPr>
        <w:t>Proposal</w:t>
      </w:r>
      <w:r w:rsidRPr="006C5107">
        <w:rPr>
          <w:b/>
        </w:rPr>
        <w:t xml:space="preserve"> 1: </w:t>
      </w:r>
      <w:r>
        <w:rPr>
          <w:b/>
        </w:rPr>
        <w:t>we propos</w:t>
      </w:r>
      <w:r w:rsidR="00675711">
        <w:rPr>
          <w:b/>
        </w:rPr>
        <w:t xml:space="preserve">e </w:t>
      </w:r>
      <w:r w:rsidR="00675711" w:rsidRPr="00675711">
        <w:rPr>
          <w:b/>
        </w:rPr>
        <w:t xml:space="preserve">to clarify in the NG, </w:t>
      </w:r>
      <w:proofErr w:type="spellStart"/>
      <w:r w:rsidR="00675711" w:rsidRPr="00675711">
        <w:rPr>
          <w:b/>
        </w:rPr>
        <w:t>Xn</w:t>
      </w:r>
      <w:proofErr w:type="spellEnd"/>
      <w:r w:rsidR="00675711" w:rsidRPr="00675711">
        <w:rPr>
          <w:b/>
        </w:rPr>
        <w:t>, F1 and E1 signalling transport specifications that for further TNLA establishments after the very first SCTP INIT, the server port is signalled by the server and can be any port</w:t>
      </w:r>
      <w:r w:rsidR="00BE0F2E" w:rsidRPr="00BE0F2E">
        <w:rPr>
          <w:b/>
        </w:rPr>
        <w:t xml:space="preserve">, but it is recommended to </w:t>
      </w:r>
      <w:r w:rsidR="004710EF">
        <w:rPr>
          <w:b/>
        </w:rPr>
        <w:t>be</w:t>
      </w:r>
      <w:r w:rsidR="00BE0F2E" w:rsidRPr="00BE0F2E">
        <w:rPr>
          <w:b/>
        </w:rPr>
        <w:t xml:space="preserve"> an SCTP port number from the dynamic port range as defined by IETF RFC 6335</w:t>
      </w:r>
    </w:p>
    <w:p w14:paraId="319A400A" w14:textId="77777777" w:rsidR="00675711" w:rsidRDefault="00675711" w:rsidP="00675711">
      <w:pPr>
        <w:rPr>
          <w:b/>
        </w:rPr>
      </w:pPr>
    </w:p>
    <w:bookmarkEnd w:id="2"/>
    <w:p w14:paraId="37C3BA56" w14:textId="2E5306CB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556B8976" w:rsidR="00AC58EF" w:rsidRDefault="00AC58EF" w:rsidP="00A828FF">
      <w:pPr>
        <w:pStyle w:val="Heading3"/>
        <w:numPr>
          <w:ilvl w:val="0"/>
          <w:numId w:val="0"/>
        </w:numPr>
        <w:rPr>
          <w:rFonts w:cs="Times New Roman"/>
          <w:sz w:val="20"/>
          <w:szCs w:val="20"/>
        </w:rPr>
      </w:pPr>
      <w:bookmarkStart w:id="3" w:name="_In-sequence_SDU_delivery"/>
      <w:bookmarkEnd w:id="3"/>
      <w:r w:rsidRPr="00AC58EF">
        <w:rPr>
          <w:rFonts w:cs="Times New Roman"/>
          <w:sz w:val="20"/>
          <w:szCs w:val="20"/>
        </w:rPr>
        <w:t>In this contribution</w:t>
      </w:r>
      <w:r>
        <w:rPr>
          <w:rFonts w:cs="Times New Roman"/>
          <w:sz w:val="20"/>
          <w:szCs w:val="20"/>
        </w:rPr>
        <w:t xml:space="preserve"> the issue of </w:t>
      </w:r>
      <w:r w:rsidR="00675711" w:rsidRPr="00675711">
        <w:rPr>
          <w:rFonts w:cs="Times New Roman"/>
          <w:sz w:val="20"/>
          <w:szCs w:val="20"/>
        </w:rPr>
        <w:t xml:space="preserve">the use of SCTP ports for multiple </w:t>
      </w:r>
      <w:r>
        <w:rPr>
          <w:rFonts w:cs="Times New Roman"/>
          <w:sz w:val="20"/>
          <w:szCs w:val="20"/>
        </w:rPr>
        <w:t xml:space="preserve">has been </w:t>
      </w:r>
      <w:r w:rsidR="00675711">
        <w:rPr>
          <w:rFonts w:cs="Times New Roman"/>
          <w:sz w:val="20"/>
          <w:szCs w:val="20"/>
        </w:rPr>
        <w:t>discuss</w:t>
      </w:r>
      <w:r>
        <w:rPr>
          <w:rFonts w:cs="Times New Roman"/>
          <w:sz w:val="20"/>
          <w:szCs w:val="20"/>
        </w:rPr>
        <w:t>ed</w:t>
      </w:r>
      <w:r w:rsidR="00675711">
        <w:rPr>
          <w:rFonts w:cs="Times New Roman"/>
          <w:sz w:val="20"/>
          <w:szCs w:val="20"/>
        </w:rPr>
        <w:t xml:space="preserve"> and the following observations and proposals were made</w:t>
      </w:r>
      <w:r>
        <w:rPr>
          <w:rFonts w:cs="Times New Roman"/>
          <w:sz w:val="20"/>
          <w:szCs w:val="20"/>
        </w:rPr>
        <w:t xml:space="preserve">. </w:t>
      </w:r>
    </w:p>
    <w:p w14:paraId="29287442" w14:textId="77777777" w:rsidR="004710EF" w:rsidRDefault="004710EF" w:rsidP="004710EF">
      <w:pPr>
        <w:rPr>
          <w:b/>
        </w:rPr>
      </w:pPr>
      <w:r>
        <w:rPr>
          <w:b/>
        </w:rPr>
        <w:t>Observation</w:t>
      </w:r>
      <w:r w:rsidRPr="006C5107">
        <w:rPr>
          <w:b/>
        </w:rPr>
        <w:t xml:space="preserve"> 1: </w:t>
      </w:r>
      <w:r w:rsidRPr="000535C7">
        <w:rPr>
          <w:b/>
        </w:rPr>
        <w:t xml:space="preserve">for the very first SCTP INIT initiated by a </w:t>
      </w:r>
      <w:proofErr w:type="spellStart"/>
      <w:r w:rsidRPr="000535C7">
        <w:rPr>
          <w:b/>
        </w:rPr>
        <w:t>gNB</w:t>
      </w:r>
      <w:proofErr w:type="spellEnd"/>
      <w:r w:rsidRPr="000535C7">
        <w:rPr>
          <w:b/>
        </w:rPr>
        <w:t xml:space="preserve">-DU the IANA port </w:t>
      </w:r>
      <w:r w:rsidRPr="00EF6F54">
        <w:rPr>
          <w:rFonts w:eastAsia="MS Mincho"/>
          <w:b/>
        </w:rPr>
        <w:t>38472</w:t>
      </w:r>
      <w:r w:rsidRPr="000535C7">
        <w:rPr>
          <w:b/>
        </w:rPr>
        <w:t xml:space="preserve"> needs to be used</w:t>
      </w:r>
    </w:p>
    <w:p w14:paraId="1000C14D" w14:textId="77777777" w:rsidR="004710EF" w:rsidRDefault="004710EF" w:rsidP="004710EF">
      <w:pPr>
        <w:rPr>
          <w:b/>
        </w:rPr>
      </w:pPr>
      <w:r>
        <w:rPr>
          <w:b/>
        </w:rPr>
        <w:t xml:space="preserve">Observation 2: for additional TNLAs between a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-DU and a </w:t>
      </w:r>
      <w:proofErr w:type="spellStart"/>
      <w:r>
        <w:rPr>
          <w:b/>
        </w:rPr>
        <w:t>gNB</w:t>
      </w:r>
      <w:proofErr w:type="spellEnd"/>
      <w:r>
        <w:rPr>
          <w:b/>
        </w:rPr>
        <w:t>-CU the server port can be freely chosen by the server</w:t>
      </w:r>
    </w:p>
    <w:p w14:paraId="09DAA330" w14:textId="77777777" w:rsidR="004710EF" w:rsidRDefault="004710EF" w:rsidP="004710EF">
      <w:pPr>
        <w:rPr>
          <w:b/>
        </w:rPr>
      </w:pPr>
      <w:r>
        <w:rPr>
          <w:b/>
        </w:rPr>
        <w:t>Proposal</w:t>
      </w:r>
      <w:r w:rsidRPr="006C5107">
        <w:rPr>
          <w:b/>
        </w:rPr>
        <w:t xml:space="preserve"> 1: </w:t>
      </w:r>
      <w:r>
        <w:rPr>
          <w:b/>
        </w:rPr>
        <w:t xml:space="preserve">we propose </w:t>
      </w:r>
      <w:r w:rsidRPr="00675711">
        <w:rPr>
          <w:b/>
        </w:rPr>
        <w:t xml:space="preserve">to clarify in the NG, </w:t>
      </w:r>
      <w:proofErr w:type="spellStart"/>
      <w:r w:rsidRPr="00675711">
        <w:rPr>
          <w:b/>
        </w:rPr>
        <w:t>Xn</w:t>
      </w:r>
      <w:proofErr w:type="spellEnd"/>
      <w:r w:rsidRPr="00675711">
        <w:rPr>
          <w:b/>
        </w:rPr>
        <w:t>, F1 and E1 signalling transport specifications that for further TNLA establishments after the very first SCTP INIT, the server port is signalled by the server and can be any port</w:t>
      </w:r>
      <w:r w:rsidRPr="00BE0F2E">
        <w:rPr>
          <w:b/>
        </w:rPr>
        <w:t xml:space="preserve">, but it is recommended to </w:t>
      </w:r>
      <w:r>
        <w:rPr>
          <w:b/>
        </w:rPr>
        <w:t>be</w:t>
      </w:r>
      <w:r w:rsidRPr="00BE0F2E">
        <w:rPr>
          <w:b/>
        </w:rPr>
        <w:t xml:space="preserve"> an SCTP port number from the dynamic port range as defined by IETF RFC 6335</w:t>
      </w:r>
    </w:p>
    <w:p w14:paraId="19854804" w14:textId="77777777" w:rsidR="004710EF" w:rsidRPr="004710EF" w:rsidRDefault="004710EF" w:rsidP="004710EF"/>
    <w:p w14:paraId="591CBFD1" w14:textId="7FE5FF60" w:rsidR="00AC41BA" w:rsidRPr="00826753" w:rsidRDefault="00AC41BA" w:rsidP="00826753"/>
    <w:sectPr w:rsidR="00AC41BA" w:rsidRPr="00826753" w:rsidSect="000F16AB">
      <w:headerReference w:type="even" r:id="rId13"/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C54D9" w14:textId="77777777" w:rsidR="007164CD" w:rsidRDefault="007164CD">
      <w:r>
        <w:separator/>
      </w:r>
    </w:p>
  </w:endnote>
  <w:endnote w:type="continuationSeparator" w:id="0">
    <w:p w14:paraId="7FBE19C8" w14:textId="77777777" w:rsidR="007164CD" w:rsidRDefault="007164CD">
      <w:r>
        <w:continuationSeparator/>
      </w:r>
    </w:p>
  </w:endnote>
  <w:endnote w:type="continuationNotice" w:id="1">
    <w:p w14:paraId="28336CF2" w14:textId="77777777" w:rsidR="007164CD" w:rsidRDefault="007164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5D7F2" w14:textId="77777777" w:rsidR="007164CD" w:rsidRDefault="007164CD">
      <w:r>
        <w:separator/>
      </w:r>
    </w:p>
  </w:footnote>
  <w:footnote w:type="continuationSeparator" w:id="0">
    <w:p w14:paraId="3AFD0441" w14:textId="77777777" w:rsidR="007164CD" w:rsidRDefault="007164CD">
      <w:r>
        <w:continuationSeparator/>
      </w:r>
    </w:p>
  </w:footnote>
  <w:footnote w:type="continuationNotice" w:id="1">
    <w:p w14:paraId="64761D07" w14:textId="77777777" w:rsidR="007164CD" w:rsidRDefault="007164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14"/>
  </w:num>
  <w:num w:numId="15">
    <w:abstractNumId w:val="15"/>
  </w:num>
  <w:num w:numId="16">
    <w:abstractNumId w:val="1"/>
  </w:num>
  <w:num w:numId="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5C7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8D2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6E74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6D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593C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8F2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C75CD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5DD0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87C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0DE0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350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10EF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88"/>
    <w:rsid w:val="005E07AB"/>
    <w:rsid w:val="005E385F"/>
    <w:rsid w:val="005E5B81"/>
    <w:rsid w:val="005E5C3C"/>
    <w:rsid w:val="005E7114"/>
    <w:rsid w:val="005E74BE"/>
    <w:rsid w:val="005E79D7"/>
    <w:rsid w:val="005E7F31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711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2BFF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5006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64CD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E7871"/>
    <w:rsid w:val="007F0C76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51F3"/>
    <w:rsid w:val="008468D4"/>
    <w:rsid w:val="00846FE7"/>
    <w:rsid w:val="0084789E"/>
    <w:rsid w:val="00847F93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2FFB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6FF3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06DE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1CF7"/>
    <w:rsid w:val="00B22C9D"/>
    <w:rsid w:val="00B231B1"/>
    <w:rsid w:val="00B23437"/>
    <w:rsid w:val="00B240AC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1EC5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4963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0F2E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60E8"/>
    <w:rsid w:val="00C97A23"/>
    <w:rsid w:val="00C97F54"/>
    <w:rsid w:val="00CA0590"/>
    <w:rsid w:val="00CA12D1"/>
    <w:rsid w:val="00CA1ED8"/>
    <w:rsid w:val="00CA31A3"/>
    <w:rsid w:val="00CA37B7"/>
    <w:rsid w:val="00CA3D41"/>
    <w:rsid w:val="00CA3F0D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B29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8C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1A15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2F81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54E5"/>
    <w:rsid w:val="00E6630C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3A43"/>
    <w:rsid w:val="00EA5E48"/>
    <w:rsid w:val="00EA7A41"/>
    <w:rsid w:val="00EB05A0"/>
    <w:rsid w:val="00EB077B"/>
    <w:rsid w:val="00EB2190"/>
    <w:rsid w:val="00EB2FEF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EF6F54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DB1"/>
    <w:rsid w:val="00F33F93"/>
    <w:rsid w:val="00F34438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02F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14DC"/>
    <w:rsid w:val="00FC3403"/>
    <w:rsid w:val="00FC469A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E7BC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BA36E2E-E02C-4025-8405-6A1091BD0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2</Pages>
  <Words>562</Words>
  <Characters>2984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2008-01-31T06:09:00Z</cp:lastPrinted>
  <dcterms:created xsi:type="dcterms:W3CDTF">2019-08-16T20:16:00Z</dcterms:created>
  <dcterms:modified xsi:type="dcterms:W3CDTF">2019-08-16T20:18:00Z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